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82D" w:rsidRDefault="00B5482D" w:rsidP="00B5482D">
      <w:pPr>
        <w:bidi/>
        <w:spacing w:after="0"/>
        <w:rPr>
          <w:b/>
          <w:bCs/>
          <w:sz w:val="28"/>
          <w:szCs w:val="28"/>
          <w:lang w:val="en-US" w:bidi="ar-LB"/>
        </w:rPr>
      </w:pPr>
      <w:r>
        <w:rPr>
          <w:b/>
          <w:bCs/>
          <w:sz w:val="28"/>
          <w:szCs w:val="28"/>
          <w:rtl/>
          <w:lang w:bidi="ar-LB"/>
        </w:rPr>
        <w:t xml:space="preserve">         الجمهورية اللبنانية </w:t>
      </w:r>
    </w:p>
    <w:p w:rsidR="00B5482D" w:rsidRDefault="00B5482D" w:rsidP="00B5482D">
      <w:pPr>
        <w:bidi/>
        <w:spacing w:after="0"/>
        <w:rPr>
          <w:b/>
          <w:bCs/>
          <w:sz w:val="28"/>
          <w:szCs w:val="28"/>
          <w:rtl/>
          <w:lang w:bidi="ar-LB"/>
        </w:rPr>
      </w:pPr>
      <w:r>
        <w:rPr>
          <w:b/>
          <w:bCs/>
          <w:sz w:val="28"/>
          <w:szCs w:val="28"/>
          <w:rtl/>
          <w:lang w:bidi="ar-LB"/>
        </w:rPr>
        <w:t xml:space="preserve">    وزارة التربية والتعليم العالي </w:t>
      </w:r>
    </w:p>
    <w:p w:rsidR="00B5482D" w:rsidRDefault="00B5482D" w:rsidP="00B5482D">
      <w:pPr>
        <w:bidi/>
        <w:spacing w:after="0"/>
        <w:rPr>
          <w:b/>
          <w:bCs/>
          <w:sz w:val="28"/>
          <w:szCs w:val="28"/>
          <w:rtl/>
          <w:lang w:bidi="ar-LB"/>
        </w:rPr>
      </w:pPr>
      <w:r>
        <w:rPr>
          <w:b/>
          <w:bCs/>
          <w:sz w:val="28"/>
          <w:szCs w:val="28"/>
          <w:rtl/>
          <w:lang w:bidi="ar-LB"/>
        </w:rPr>
        <w:t>المديرية العامة للتعليم المهني والتقني</w:t>
      </w:r>
    </w:p>
    <w:p w:rsidR="00B5482D" w:rsidRDefault="00B5482D" w:rsidP="00B5482D">
      <w:pPr>
        <w:bidi/>
        <w:spacing w:after="0"/>
        <w:rPr>
          <w:b/>
          <w:bCs/>
          <w:sz w:val="28"/>
          <w:szCs w:val="28"/>
          <w:lang w:bidi="ar-LB"/>
        </w:rPr>
      </w:pPr>
    </w:p>
    <w:p w:rsidR="00B5482D" w:rsidRDefault="00B5482D" w:rsidP="00B5482D">
      <w:pPr>
        <w:bidi/>
        <w:spacing w:after="0"/>
        <w:rPr>
          <w:b/>
          <w:bCs/>
          <w:sz w:val="28"/>
          <w:szCs w:val="28"/>
          <w:lang w:bidi="ar-LB"/>
        </w:rPr>
      </w:pPr>
      <w:r>
        <w:rPr>
          <w:b/>
          <w:bCs/>
          <w:sz w:val="28"/>
          <w:szCs w:val="28"/>
          <w:rtl/>
          <w:lang w:bidi="ar-LB"/>
        </w:rPr>
        <w:tab/>
      </w:r>
      <w:r>
        <w:rPr>
          <w:b/>
          <w:bCs/>
          <w:sz w:val="28"/>
          <w:szCs w:val="28"/>
          <w:rtl/>
          <w:lang w:bidi="ar-LB"/>
        </w:rPr>
        <w:tab/>
      </w:r>
      <w:r>
        <w:rPr>
          <w:b/>
          <w:bCs/>
          <w:sz w:val="28"/>
          <w:szCs w:val="28"/>
          <w:rtl/>
          <w:lang w:bidi="ar-LB"/>
        </w:rPr>
        <w:tab/>
      </w:r>
      <w:r>
        <w:rPr>
          <w:b/>
          <w:bCs/>
          <w:sz w:val="28"/>
          <w:szCs w:val="28"/>
          <w:rtl/>
          <w:lang w:bidi="ar-LB"/>
        </w:rPr>
        <w:tab/>
      </w:r>
      <w:r>
        <w:rPr>
          <w:b/>
          <w:bCs/>
          <w:sz w:val="28"/>
          <w:szCs w:val="28"/>
          <w:rtl/>
          <w:lang w:bidi="ar-LB"/>
        </w:rPr>
        <w:tab/>
      </w:r>
    </w:p>
    <w:p w:rsidR="00B5482D" w:rsidRDefault="00B5482D" w:rsidP="00B5482D">
      <w:pPr>
        <w:bidi/>
        <w:spacing w:after="0"/>
        <w:jc w:val="center"/>
        <w:rPr>
          <w:b/>
          <w:bCs/>
          <w:sz w:val="28"/>
          <w:szCs w:val="28"/>
          <w:rtl/>
          <w:lang w:bidi="ar-LB"/>
        </w:rPr>
      </w:pPr>
      <w:r>
        <w:rPr>
          <w:b/>
          <w:bCs/>
          <w:sz w:val="28"/>
          <w:szCs w:val="28"/>
          <w:lang w:bidi="ar-LB"/>
        </w:rPr>
        <w:t xml:space="preserve">Fundamental of Nursing TS1 </w:t>
      </w:r>
    </w:p>
    <w:p w:rsidR="00B5482D" w:rsidRDefault="00B5482D" w:rsidP="00B5482D">
      <w:pPr>
        <w:bidi/>
        <w:spacing w:after="0"/>
        <w:jc w:val="center"/>
        <w:rPr>
          <w:b/>
          <w:bCs/>
          <w:sz w:val="28"/>
          <w:szCs w:val="28"/>
          <w:lang w:bidi="ar-LB"/>
        </w:rPr>
      </w:pPr>
    </w:p>
    <w:p w:rsidR="00B5482D" w:rsidRDefault="00B5482D" w:rsidP="00B5482D">
      <w:pPr>
        <w:bidi/>
        <w:spacing w:after="0"/>
        <w:rPr>
          <w:b/>
          <w:bCs/>
          <w:sz w:val="28"/>
          <w:szCs w:val="28"/>
          <w:lang w:bidi="ar-LB"/>
        </w:rPr>
      </w:pPr>
      <w:r>
        <w:rPr>
          <w:b/>
          <w:bCs/>
          <w:sz w:val="28"/>
          <w:szCs w:val="28"/>
          <w:rtl/>
          <w:lang w:bidi="ar-LB"/>
        </w:rPr>
        <w:t xml:space="preserve">المستوى </w:t>
      </w:r>
      <w:r>
        <w:rPr>
          <w:rFonts w:hint="cs"/>
          <w:b/>
          <w:bCs/>
          <w:sz w:val="28"/>
          <w:szCs w:val="28"/>
          <w:rtl/>
          <w:lang w:bidi="ar-LB"/>
        </w:rPr>
        <w:t xml:space="preserve">الامتياز الفني </w:t>
      </w:r>
      <w:r>
        <w:rPr>
          <w:rFonts w:hint="cs"/>
          <w:b/>
          <w:bCs/>
          <w:sz w:val="28"/>
          <w:szCs w:val="28"/>
          <w:rtl/>
          <w:lang w:bidi="ar-LB"/>
        </w:rPr>
        <w:tab/>
      </w:r>
      <w:r>
        <w:rPr>
          <w:b/>
          <w:bCs/>
          <w:sz w:val="28"/>
          <w:szCs w:val="28"/>
          <w:rtl/>
          <w:lang w:bidi="ar-LB"/>
        </w:rPr>
        <w:tab/>
      </w:r>
      <w:r>
        <w:rPr>
          <w:b/>
          <w:bCs/>
          <w:sz w:val="28"/>
          <w:szCs w:val="28"/>
          <w:rtl/>
          <w:lang w:bidi="ar-LB"/>
        </w:rPr>
        <w:tab/>
      </w:r>
      <w:r>
        <w:rPr>
          <w:b/>
          <w:bCs/>
          <w:sz w:val="28"/>
          <w:szCs w:val="28"/>
          <w:rtl/>
          <w:lang w:bidi="ar-LB"/>
        </w:rPr>
        <w:tab/>
        <w:t xml:space="preserve">   السنة </w:t>
      </w:r>
      <w:r>
        <w:rPr>
          <w:rFonts w:hint="cs"/>
          <w:b/>
          <w:bCs/>
          <w:sz w:val="28"/>
          <w:szCs w:val="28"/>
          <w:rtl/>
          <w:lang w:bidi="ar-LB"/>
        </w:rPr>
        <w:t xml:space="preserve">الأولى </w:t>
      </w:r>
      <w:r>
        <w:rPr>
          <w:b/>
          <w:bCs/>
          <w:sz w:val="28"/>
          <w:szCs w:val="28"/>
          <w:rtl/>
          <w:lang w:bidi="ar-LB"/>
        </w:rPr>
        <w:t xml:space="preserve">     الاختصاص عناية تمريضية </w:t>
      </w:r>
    </w:p>
    <w:tbl>
      <w:tblPr>
        <w:bidiVisual/>
        <w:tblW w:w="9940" w:type="dxa"/>
        <w:tblInd w:w="93" w:type="dxa"/>
        <w:tblLook w:val="04A0" w:firstRow="1" w:lastRow="0" w:firstColumn="1" w:lastColumn="0" w:noHBand="0" w:noVBand="1"/>
      </w:tblPr>
      <w:tblGrid>
        <w:gridCol w:w="4320"/>
        <w:gridCol w:w="5620"/>
      </w:tblGrid>
      <w:tr w:rsidR="000407AE" w:rsidRPr="000407AE" w:rsidTr="000407AE">
        <w:trPr>
          <w:trHeight w:val="645"/>
        </w:trPr>
        <w:tc>
          <w:tcPr>
            <w:tcW w:w="4320" w:type="dxa"/>
            <w:tcBorders>
              <w:top w:val="nil"/>
              <w:left w:val="nil"/>
              <w:bottom w:val="nil"/>
              <w:right w:val="nil"/>
            </w:tcBorders>
            <w:shd w:val="clear" w:color="auto" w:fill="auto"/>
            <w:noWrap/>
            <w:vAlign w:val="center"/>
            <w:hideMark/>
          </w:tcPr>
          <w:p w:rsidR="000407AE" w:rsidRPr="000407AE" w:rsidRDefault="000407AE" w:rsidP="000407AE">
            <w:pPr>
              <w:spacing w:after="0" w:line="240" w:lineRule="auto"/>
              <w:jc w:val="center"/>
              <w:rPr>
                <w:rFonts w:ascii="Calibri" w:eastAsia="Times New Roman" w:hAnsi="Calibri" w:cs="Times New Roman"/>
                <w:b/>
                <w:bCs/>
                <w:color w:val="FF0000"/>
                <w:sz w:val="32"/>
                <w:szCs w:val="32"/>
                <w:lang w:val="en-US"/>
              </w:rPr>
            </w:pPr>
            <w:r w:rsidRPr="000407AE">
              <w:rPr>
                <w:rFonts w:ascii="Calibri" w:eastAsia="Times New Roman" w:hAnsi="Calibri" w:cs="Times New Roman"/>
                <w:b/>
                <w:bCs/>
                <w:color w:val="FF0000"/>
                <w:sz w:val="32"/>
                <w:szCs w:val="32"/>
                <w:lang w:val="en-US"/>
              </w:rPr>
              <w:t>Fundamentals of Nursing</w:t>
            </w:r>
          </w:p>
        </w:tc>
        <w:tc>
          <w:tcPr>
            <w:tcW w:w="5620" w:type="dxa"/>
            <w:tcBorders>
              <w:top w:val="nil"/>
              <w:left w:val="nil"/>
              <w:bottom w:val="nil"/>
              <w:right w:val="nil"/>
            </w:tcBorders>
            <w:shd w:val="clear" w:color="auto" w:fill="auto"/>
            <w:noWrap/>
            <w:vAlign w:val="bottom"/>
            <w:hideMark/>
          </w:tcPr>
          <w:p w:rsidR="000407AE" w:rsidRPr="000407AE" w:rsidRDefault="000407AE" w:rsidP="000407AE">
            <w:pPr>
              <w:spacing w:after="0" w:line="240" w:lineRule="auto"/>
              <w:rPr>
                <w:rFonts w:ascii="Calibri" w:eastAsia="Times New Roman" w:hAnsi="Calibri" w:cs="Times New Roman"/>
                <w:color w:val="000000"/>
                <w:lang w:val="en-US"/>
              </w:rPr>
            </w:pPr>
          </w:p>
        </w:tc>
      </w:tr>
      <w:tr w:rsidR="000407AE" w:rsidRPr="000407AE" w:rsidTr="000407AE">
        <w:trPr>
          <w:trHeight w:val="105"/>
        </w:trPr>
        <w:tc>
          <w:tcPr>
            <w:tcW w:w="4320" w:type="dxa"/>
            <w:tcBorders>
              <w:top w:val="nil"/>
              <w:left w:val="nil"/>
              <w:bottom w:val="nil"/>
              <w:right w:val="nil"/>
            </w:tcBorders>
            <w:shd w:val="clear" w:color="auto" w:fill="auto"/>
            <w:noWrap/>
            <w:vAlign w:val="bottom"/>
            <w:hideMark/>
          </w:tcPr>
          <w:p w:rsidR="000407AE" w:rsidRPr="000407AE" w:rsidRDefault="000407AE" w:rsidP="000407AE">
            <w:pPr>
              <w:spacing w:after="0" w:line="240" w:lineRule="auto"/>
              <w:rPr>
                <w:rFonts w:ascii="Calibri" w:eastAsia="Times New Roman" w:hAnsi="Calibri" w:cs="Times New Roman"/>
                <w:color w:val="000000"/>
                <w:lang w:val="en-US"/>
              </w:rPr>
            </w:pPr>
          </w:p>
        </w:tc>
        <w:tc>
          <w:tcPr>
            <w:tcW w:w="5620" w:type="dxa"/>
            <w:tcBorders>
              <w:top w:val="nil"/>
              <w:left w:val="nil"/>
              <w:bottom w:val="nil"/>
              <w:right w:val="nil"/>
            </w:tcBorders>
            <w:shd w:val="clear" w:color="auto" w:fill="auto"/>
            <w:noWrap/>
            <w:vAlign w:val="bottom"/>
            <w:hideMark/>
          </w:tcPr>
          <w:p w:rsidR="000407AE" w:rsidRPr="000407AE" w:rsidRDefault="000407AE" w:rsidP="000407AE">
            <w:pPr>
              <w:spacing w:after="0" w:line="240" w:lineRule="auto"/>
              <w:rPr>
                <w:rFonts w:ascii="Calibri" w:eastAsia="Times New Roman" w:hAnsi="Calibri" w:cs="Times New Roman"/>
                <w:color w:val="000000"/>
                <w:lang w:val="en-US"/>
              </w:rPr>
            </w:pPr>
          </w:p>
        </w:tc>
      </w:tr>
      <w:tr w:rsidR="000407AE" w:rsidRPr="000407AE" w:rsidTr="000407AE">
        <w:trPr>
          <w:trHeight w:val="462"/>
        </w:trPr>
        <w:tc>
          <w:tcPr>
            <w:tcW w:w="4320" w:type="dxa"/>
            <w:tcBorders>
              <w:top w:val="single" w:sz="8" w:space="0" w:color="auto"/>
              <w:left w:val="single" w:sz="4" w:space="0" w:color="auto"/>
              <w:bottom w:val="single" w:sz="8" w:space="0" w:color="auto"/>
              <w:right w:val="single" w:sz="4" w:space="0" w:color="auto"/>
            </w:tcBorders>
            <w:shd w:val="clear" w:color="000000" w:fill="BFBFBF"/>
            <w:vAlign w:val="center"/>
            <w:hideMark/>
          </w:tcPr>
          <w:p w:rsidR="000407AE" w:rsidRPr="000407AE" w:rsidRDefault="000407AE" w:rsidP="000407AE">
            <w:pPr>
              <w:bidi/>
              <w:spacing w:after="0" w:line="240" w:lineRule="auto"/>
              <w:jc w:val="center"/>
              <w:rPr>
                <w:rFonts w:ascii="Arial" w:eastAsia="Times New Roman" w:hAnsi="Arial" w:cs="Arial"/>
                <w:b/>
                <w:bCs/>
                <w:color w:val="000000"/>
                <w:lang w:val="en-US"/>
              </w:rPr>
            </w:pPr>
            <w:r w:rsidRPr="000407AE">
              <w:rPr>
                <w:rFonts w:ascii="Arial" w:eastAsia="Times New Roman" w:hAnsi="Arial" w:cs="Arial"/>
                <w:b/>
                <w:bCs/>
                <w:color w:val="000000"/>
                <w:lang w:val="en-US"/>
              </w:rPr>
              <w:t>Lesson</w:t>
            </w:r>
          </w:p>
        </w:tc>
        <w:tc>
          <w:tcPr>
            <w:tcW w:w="5620" w:type="dxa"/>
            <w:tcBorders>
              <w:top w:val="single" w:sz="8" w:space="0" w:color="auto"/>
              <w:left w:val="single" w:sz="4" w:space="0" w:color="auto"/>
              <w:bottom w:val="single" w:sz="8" w:space="0" w:color="auto"/>
              <w:right w:val="single" w:sz="8" w:space="0" w:color="auto"/>
            </w:tcBorders>
            <w:shd w:val="clear" w:color="000000" w:fill="BFBFBF"/>
            <w:vAlign w:val="center"/>
            <w:hideMark/>
          </w:tcPr>
          <w:p w:rsidR="000407AE" w:rsidRPr="000407AE" w:rsidRDefault="000407AE" w:rsidP="000407AE">
            <w:pPr>
              <w:bidi/>
              <w:spacing w:after="0" w:line="240" w:lineRule="auto"/>
              <w:jc w:val="center"/>
              <w:rPr>
                <w:rFonts w:ascii="Arial" w:eastAsia="Times New Roman" w:hAnsi="Arial" w:cs="Arial"/>
                <w:b/>
                <w:bCs/>
                <w:color w:val="000000"/>
                <w:lang w:val="en-US"/>
              </w:rPr>
            </w:pPr>
            <w:r w:rsidRPr="000407AE">
              <w:rPr>
                <w:rFonts w:ascii="Arial" w:eastAsia="Times New Roman" w:hAnsi="Arial" w:cs="Arial"/>
                <w:b/>
                <w:bCs/>
                <w:color w:val="000000"/>
                <w:lang w:val="en-US"/>
              </w:rPr>
              <w:t>Description</w:t>
            </w:r>
          </w:p>
        </w:tc>
      </w:tr>
      <w:tr w:rsidR="000407AE" w:rsidRPr="000407AE" w:rsidTr="000407AE">
        <w:trPr>
          <w:trHeight w:val="462"/>
        </w:trPr>
        <w:tc>
          <w:tcPr>
            <w:tcW w:w="432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Introduction to Nursing</w:t>
            </w:r>
          </w:p>
        </w:tc>
        <w:tc>
          <w:tcPr>
            <w:tcW w:w="5620"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History, evolution, definition, aims, nursing as profession, code of ethics, nursing process. </w:t>
            </w:r>
          </w:p>
        </w:tc>
      </w:tr>
      <w:tr w:rsidR="000407AE" w:rsidRPr="000407AE" w:rsidTr="000407AE">
        <w:trPr>
          <w:trHeight w:val="462"/>
        </w:trPr>
        <w:tc>
          <w:tcPr>
            <w:tcW w:w="4320" w:type="dxa"/>
            <w:vMerge/>
            <w:tcBorders>
              <w:top w:val="single" w:sz="4" w:space="0" w:color="auto"/>
              <w:left w:val="single" w:sz="4" w:space="0" w:color="auto"/>
              <w:bottom w:val="single" w:sz="8" w:space="0" w:color="000000"/>
              <w:right w:val="single" w:sz="4" w:space="0" w:color="auto"/>
            </w:tcBorders>
            <w:vAlign w:val="center"/>
            <w:hideMark/>
          </w:tcPr>
          <w:p w:rsidR="000407AE" w:rsidRPr="000407AE" w:rsidRDefault="000407AE" w:rsidP="000407AE">
            <w:pPr>
              <w:spacing w:after="0" w:line="240" w:lineRule="auto"/>
              <w:rPr>
                <w:rFonts w:ascii="Times New Roman" w:eastAsia="Times New Roman" w:hAnsi="Times New Roman" w:cs="Times New Roman"/>
                <w:b/>
                <w:bCs/>
                <w:color w:val="000000"/>
                <w:sz w:val="24"/>
                <w:szCs w:val="24"/>
                <w:lang w:val="en-US"/>
              </w:rPr>
            </w:pPr>
          </w:p>
        </w:tc>
        <w:tc>
          <w:tcPr>
            <w:tcW w:w="5620" w:type="dxa"/>
            <w:vMerge/>
            <w:tcBorders>
              <w:top w:val="single" w:sz="4" w:space="0" w:color="auto"/>
              <w:left w:val="single" w:sz="4" w:space="0" w:color="auto"/>
              <w:bottom w:val="single" w:sz="8" w:space="0" w:color="000000"/>
              <w:right w:val="single" w:sz="8" w:space="0" w:color="auto"/>
            </w:tcBorders>
            <w:vAlign w:val="center"/>
            <w:hideMark/>
          </w:tcPr>
          <w:p w:rsidR="000407AE" w:rsidRPr="000407AE" w:rsidRDefault="000407AE" w:rsidP="000407AE">
            <w:pPr>
              <w:spacing w:after="0" w:line="240" w:lineRule="auto"/>
              <w:rPr>
                <w:rFonts w:ascii="Calibri" w:eastAsia="Times New Roman" w:hAnsi="Calibri" w:cs="Times New Roman"/>
                <w:color w:val="000000"/>
                <w:lang w:val="en-US"/>
              </w:rPr>
            </w:pPr>
          </w:p>
        </w:tc>
      </w:tr>
      <w:tr w:rsidR="000407AE" w:rsidRPr="000407AE" w:rsidTr="000407AE">
        <w:trPr>
          <w:trHeight w:val="462"/>
        </w:trPr>
        <w:tc>
          <w:tcPr>
            <w:tcW w:w="4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Asepsis &amp; Infection Control</w:t>
            </w:r>
          </w:p>
        </w:tc>
        <w:tc>
          <w:tcPr>
            <w:tcW w:w="5620" w:type="dxa"/>
            <w:vMerge w:val="restart"/>
            <w:tcBorders>
              <w:top w:val="nil"/>
              <w:left w:val="single" w:sz="4" w:space="0" w:color="auto"/>
              <w:bottom w:val="single" w:sz="4" w:space="0" w:color="000000"/>
              <w:right w:val="single" w:sz="8"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Infection defined, infection cycle, stages of infection, asepsis defined, medical vs. surgical asepsis, hand hygiene, PPE, Standard vs. Transmission based precautions. </w:t>
            </w:r>
          </w:p>
        </w:tc>
      </w:tr>
      <w:tr w:rsidR="000407AE" w:rsidRPr="000407AE" w:rsidTr="000407AE">
        <w:trPr>
          <w:trHeight w:val="675"/>
        </w:trPr>
        <w:tc>
          <w:tcPr>
            <w:tcW w:w="4320" w:type="dxa"/>
            <w:vMerge/>
            <w:tcBorders>
              <w:top w:val="nil"/>
              <w:left w:val="single" w:sz="4" w:space="0" w:color="auto"/>
              <w:bottom w:val="single" w:sz="4" w:space="0" w:color="000000"/>
              <w:right w:val="single" w:sz="4" w:space="0" w:color="auto"/>
            </w:tcBorders>
            <w:vAlign w:val="center"/>
            <w:hideMark/>
          </w:tcPr>
          <w:p w:rsidR="000407AE" w:rsidRPr="000407AE" w:rsidRDefault="000407AE" w:rsidP="000407AE">
            <w:pPr>
              <w:spacing w:after="0" w:line="240" w:lineRule="auto"/>
              <w:rPr>
                <w:rFonts w:ascii="Times New Roman" w:eastAsia="Times New Roman" w:hAnsi="Times New Roman" w:cs="Times New Roman"/>
                <w:b/>
                <w:bCs/>
                <w:color w:val="000000"/>
                <w:sz w:val="24"/>
                <w:szCs w:val="24"/>
                <w:lang w:val="en-US"/>
              </w:rPr>
            </w:pPr>
          </w:p>
        </w:tc>
        <w:tc>
          <w:tcPr>
            <w:tcW w:w="5620" w:type="dxa"/>
            <w:vMerge/>
            <w:tcBorders>
              <w:top w:val="nil"/>
              <w:left w:val="single" w:sz="4" w:space="0" w:color="auto"/>
              <w:bottom w:val="single" w:sz="4" w:space="0" w:color="000000"/>
              <w:right w:val="single" w:sz="8" w:space="0" w:color="auto"/>
            </w:tcBorders>
            <w:vAlign w:val="center"/>
            <w:hideMark/>
          </w:tcPr>
          <w:p w:rsidR="000407AE" w:rsidRPr="000407AE" w:rsidRDefault="000407AE" w:rsidP="000407AE">
            <w:pPr>
              <w:spacing w:after="0" w:line="240" w:lineRule="auto"/>
              <w:rPr>
                <w:rFonts w:ascii="Calibri" w:eastAsia="Times New Roman" w:hAnsi="Calibri" w:cs="Times New Roman"/>
                <w:color w:val="000000"/>
                <w:lang w:val="en-US"/>
              </w:rPr>
            </w:pPr>
          </w:p>
        </w:tc>
      </w:tr>
      <w:tr w:rsidR="000407AE" w:rsidRPr="000407AE" w:rsidTr="000407AE">
        <w:trPr>
          <w:trHeight w:val="1095"/>
        </w:trPr>
        <w:tc>
          <w:tcPr>
            <w:tcW w:w="4320" w:type="dxa"/>
            <w:tcBorders>
              <w:top w:val="nil"/>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Hygiene</w:t>
            </w:r>
          </w:p>
        </w:tc>
        <w:tc>
          <w:tcPr>
            <w:tcW w:w="5620" w:type="dxa"/>
            <w:tcBorders>
              <w:top w:val="nil"/>
              <w:left w:val="single" w:sz="4" w:space="0" w:color="auto"/>
              <w:bottom w:val="single" w:sz="4" w:space="0" w:color="auto"/>
              <w:right w:val="single" w:sz="8"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Overview of integumentary system, factors affecting skin and personal hygiene, nursing process (a</w:t>
            </w:r>
            <w:r w:rsidRPr="000407AE">
              <w:rPr>
                <w:rFonts w:ascii="Calibri" w:eastAsia="Times New Roman" w:hAnsi="Calibri" w:cs="Times New Roman"/>
                <w:color w:val="000000"/>
                <w:lang w:val="en-US"/>
              </w:rPr>
              <w:br/>
              <w:t>assessing</w:t>
            </w:r>
            <w:bookmarkStart w:id="0" w:name="_GoBack"/>
            <w:bookmarkEnd w:id="0"/>
            <w:r w:rsidRPr="000407AE">
              <w:rPr>
                <w:rFonts w:ascii="Calibri" w:eastAsia="Times New Roman" w:hAnsi="Calibri" w:cs="Times New Roman"/>
                <w:color w:val="000000"/>
                <w:lang w:val="en-US"/>
              </w:rPr>
              <w:t xml:space="preserve">, diagnoses, exp. outcomes, interventions), skin care, oral care, bed bath, bed making. </w:t>
            </w:r>
          </w:p>
        </w:tc>
      </w:tr>
      <w:tr w:rsidR="000407AE" w:rsidRPr="000407AE" w:rsidTr="000407AE">
        <w:trPr>
          <w:trHeight w:val="1545"/>
        </w:trPr>
        <w:tc>
          <w:tcPr>
            <w:tcW w:w="4320" w:type="dxa"/>
            <w:tcBorders>
              <w:top w:val="nil"/>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Activity &amp; Mobility</w:t>
            </w:r>
          </w:p>
        </w:tc>
        <w:tc>
          <w:tcPr>
            <w:tcW w:w="5620" w:type="dxa"/>
            <w:tcBorders>
              <w:top w:val="nil"/>
              <w:left w:val="single" w:sz="4" w:space="0" w:color="auto"/>
              <w:bottom w:val="single" w:sz="4" w:space="0" w:color="auto"/>
              <w:right w:val="single" w:sz="8"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Overview of MS System, factors affecting activity, exercise defined, benefits of exercises, effects of immobility, Nursing process (assessing, diagnoses, exp. outcomes, </w:t>
            </w:r>
            <w:proofErr w:type="gramStart"/>
            <w:r w:rsidRPr="000407AE">
              <w:rPr>
                <w:rFonts w:ascii="Calibri" w:eastAsia="Times New Roman" w:hAnsi="Calibri" w:cs="Times New Roman"/>
                <w:color w:val="000000"/>
                <w:lang w:val="en-US"/>
              </w:rPr>
              <w:t>interventions</w:t>
            </w:r>
            <w:proofErr w:type="gramEnd"/>
            <w:r w:rsidRPr="000407AE">
              <w:rPr>
                <w:rFonts w:ascii="Calibri" w:eastAsia="Times New Roman" w:hAnsi="Calibri" w:cs="Times New Roman"/>
                <w:color w:val="000000"/>
                <w:lang w:val="en-US"/>
              </w:rPr>
              <w:t xml:space="preserve">), protective positions, turning, moving and ambulating patient, ROM exercises. </w:t>
            </w:r>
          </w:p>
        </w:tc>
      </w:tr>
      <w:tr w:rsidR="000407AE" w:rsidRPr="000407AE" w:rsidTr="000407AE">
        <w:trPr>
          <w:trHeight w:val="462"/>
        </w:trPr>
        <w:tc>
          <w:tcPr>
            <w:tcW w:w="4320"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Vital Signs</w:t>
            </w:r>
          </w:p>
        </w:tc>
        <w:tc>
          <w:tcPr>
            <w:tcW w:w="5620"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V/S defined, normal </w:t>
            </w:r>
            <w:proofErr w:type="gramStart"/>
            <w:r w:rsidRPr="000407AE">
              <w:rPr>
                <w:rFonts w:ascii="Calibri" w:eastAsia="Times New Roman" w:hAnsi="Calibri" w:cs="Times New Roman"/>
                <w:color w:val="000000"/>
                <w:lang w:val="en-US"/>
              </w:rPr>
              <w:t>ranges,</w:t>
            </w:r>
            <w:proofErr w:type="gramEnd"/>
            <w:r w:rsidRPr="000407AE">
              <w:rPr>
                <w:rFonts w:ascii="Calibri" w:eastAsia="Times New Roman" w:hAnsi="Calibri" w:cs="Times New Roman"/>
                <w:color w:val="000000"/>
                <w:lang w:val="en-US"/>
              </w:rPr>
              <w:t xml:space="preserve"> temp. defined, physiology of heat gain and loss, factors affecting, variation and significance, assessing temp., pulse defined, physiology, pulse rate, rhythm and amplitude, variation, assessing pulse, resp. defined, physiology, factors affecting, variations, assessing resp., BP. defined, physiology, factors affecting, variation, assessing BP. </w:t>
            </w:r>
          </w:p>
        </w:tc>
      </w:tr>
      <w:tr w:rsidR="000407AE" w:rsidRPr="000407AE" w:rsidTr="000407AE">
        <w:trPr>
          <w:trHeight w:val="1545"/>
        </w:trPr>
        <w:tc>
          <w:tcPr>
            <w:tcW w:w="4320" w:type="dxa"/>
            <w:vMerge/>
            <w:tcBorders>
              <w:top w:val="single" w:sz="8" w:space="0" w:color="auto"/>
              <w:left w:val="single" w:sz="4" w:space="0" w:color="auto"/>
              <w:bottom w:val="single" w:sz="4" w:space="0" w:color="000000"/>
              <w:right w:val="single" w:sz="4" w:space="0" w:color="auto"/>
            </w:tcBorders>
            <w:vAlign w:val="center"/>
            <w:hideMark/>
          </w:tcPr>
          <w:p w:rsidR="000407AE" w:rsidRPr="000407AE" w:rsidRDefault="000407AE" w:rsidP="000407AE">
            <w:pPr>
              <w:spacing w:after="0" w:line="240" w:lineRule="auto"/>
              <w:rPr>
                <w:rFonts w:ascii="Times New Roman" w:eastAsia="Times New Roman" w:hAnsi="Times New Roman" w:cs="Times New Roman"/>
                <w:b/>
                <w:bCs/>
                <w:color w:val="000000"/>
                <w:sz w:val="24"/>
                <w:szCs w:val="24"/>
                <w:lang w:val="en-US"/>
              </w:rPr>
            </w:pPr>
          </w:p>
        </w:tc>
        <w:tc>
          <w:tcPr>
            <w:tcW w:w="5620" w:type="dxa"/>
            <w:vMerge/>
            <w:tcBorders>
              <w:top w:val="single" w:sz="8" w:space="0" w:color="auto"/>
              <w:left w:val="single" w:sz="4" w:space="0" w:color="auto"/>
              <w:bottom w:val="single" w:sz="4" w:space="0" w:color="000000"/>
              <w:right w:val="single" w:sz="8" w:space="0" w:color="auto"/>
            </w:tcBorders>
            <w:vAlign w:val="center"/>
            <w:hideMark/>
          </w:tcPr>
          <w:p w:rsidR="000407AE" w:rsidRPr="000407AE" w:rsidRDefault="000407AE" w:rsidP="000407AE">
            <w:pPr>
              <w:spacing w:after="0" w:line="240" w:lineRule="auto"/>
              <w:rPr>
                <w:rFonts w:ascii="Calibri" w:eastAsia="Times New Roman" w:hAnsi="Calibri" w:cs="Times New Roman"/>
                <w:color w:val="000000"/>
                <w:lang w:val="en-US"/>
              </w:rPr>
            </w:pPr>
          </w:p>
        </w:tc>
      </w:tr>
      <w:tr w:rsidR="000407AE" w:rsidRPr="000407AE" w:rsidTr="000407AE">
        <w:trPr>
          <w:trHeight w:val="462"/>
        </w:trPr>
        <w:tc>
          <w:tcPr>
            <w:tcW w:w="4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Health Assessment</w:t>
            </w:r>
          </w:p>
        </w:tc>
        <w:tc>
          <w:tcPr>
            <w:tcW w:w="5620" w:type="dxa"/>
            <w:vMerge w:val="restart"/>
            <w:tcBorders>
              <w:top w:val="nil"/>
              <w:left w:val="single" w:sz="4" w:space="0" w:color="auto"/>
              <w:bottom w:val="single" w:sz="4" w:space="0" w:color="000000"/>
              <w:right w:val="single" w:sz="8"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Assessment defined, types of assessments, equipment needed for assessment, techniques of physical assess. Conducting general survey, assessing skin, assessing head and neck, assessing thorax and lungs, assessing CV system, assessing axilla and breasts, assessing abdomen, assessing GU system, assessing MS system, assessing CN system, assessing reproductive system. </w:t>
            </w:r>
          </w:p>
        </w:tc>
      </w:tr>
      <w:tr w:rsidR="000407AE" w:rsidRPr="000407AE" w:rsidTr="000407AE">
        <w:trPr>
          <w:trHeight w:val="1455"/>
        </w:trPr>
        <w:tc>
          <w:tcPr>
            <w:tcW w:w="4320" w:type="dxa"/>
            <w:vMerge/>
            <w:tcBorders>
              <w:top w:val="nil"/>
              <w:left w:val="single" w:sz="4" w:space="0" w:color="auto"/>
              <w:bottom w:val="single" w:sz="4" w:space="0" w:color="auto"/>
              <w:right w:val="single" w:sz="4" w:space="0" w:color="auto"/>
            </w:tcBorders>
            <w:vAlign w:val="center"/>
            <w:hideMark/>
          </w:tcPr>
          <w:p w:rsidR="000407AE" w:rsidRPr="000407AE" w:rsidRDefault="000407AE" w:rsidP="000407AE">
            <w:pPr>
              <w:spacing w:after="0" w:line="240" w:lineRule="auto"/>
              <w:rPr>
                <w:rFonts w:ascii="Times New Roman" w:eastAsia="Times New Roman" w:hAnsi="Times New Roman" w:cs="Times New Roman"/>
                <w:b/>
                <w:bCs/>
                <w:color w:val="000000"/>
                <w:sz w:val="24"/>
                <w:szCs w:val="24"/>
                <w:lang w:val="en-US"/>
              </w:rPr>
            </w:pPr>
          </w:p>
        </w:tc>
        <w:tc>
          <w:tcPr>
            <w:tcW w:w="5620" w:type="dxa"/>
            <w:vMerge/>
            <w:tcBorders>
              <w:top w:val="nil"/>
              <w:left w:val="single" w:sz="4" w:space="0" w:color="auto"/>
              <w:bottom w:val="single" w:sz="4" w:space="0" w:color="auto"/>
              <w:right w:val="single" w:sz="8" w:space="0" w:color="auto"/>
            </w:tcBorders>
            <w:vAlign w:val="center"/>
            <w:hideMark/>
          </w:tcPr>
          <w:p w:rsidR="000407AE" w:rsidRPr="000407AE" w:rsidRDefault="000407AE" w:rsidP="000407AE">
            <w:pPr>
              <w:spacing w:after="0" w:line="240" w:lineRule="auto"/>
              <w:rPr>
                <w:rFonts w:ascii="Calibri" w:eastAsia="Times New Roman" w:hAnsi="Calibri" w:cs="Times New Roman"/>
                <w:color w:val="000000"/>
                <w:lang w:val="en-US"/>
              </w:rPr>
            </w:pPr>
          </w:p>
        </w:tc>
      </w:tr>
      <w:tr w:rsidR="000407AE" w:rsidRPr="000407AE" w:rsidTr="000407AE">
        <w:trPr>
          <w:trHeight w:val="462"/>
        </w:trPr>
        <w:tc>
          <w:tcPr>
            <w:tcW w:w="43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lastRenderedPageBreak/>
              <w:t>Skin Integrity &amp; Wound Care</w:t>
            </w:r>
          </w:p>
        </w:tc>
        <w:tc>
          <w:tcPr>
            <w:tcW w:w="5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Overview of integumentary system, factors affecting skin and wound, wounds defined, types and classifications of wounds, complications, wound healing process, nursing process, wound assessment, wound care, Pressure ulcer defined, factors affecting, risk assessment of PU, assessing PU, stages of PU, preventive measures of PU. </w:t>
            </w:r>
          </w:p>
        </w:tc>
      </w:tr>
      <w:tr w:rsidR="000407AE" w:rsidRPr="000407AE" w:rsidTr="000407AE">
        <w:trPr>
          <w:trHeight w:val="1365"/>
        </w:trPr>
        <w:tc>
          <w:tcPr>
            <w:tcW w:w="4320" w:type="dxa"/>
            <w:vMerge/>
            <w:tcBorders>
              <w:top w:val="single" w:sz="4" w:space="0" w:color="auto"/>
              <w:left w:val="single" w:sz="4" w:space="0" w:color="auto"/>
              <w:bottom w:val="single" w:sz="4" w:space="0" w:color="auto"/>
              <w:right w:val="single" w:sz="4" w:space="0" w:color="auto"/>
            </w:tcBorders>
            <w:vAlign w:val="center"/>
            <w:hideMark/>
          </w:tcPr>
          <w:p w:rsidR="000407AE" w:rsidRPr="000407AE" w:rsidRDefault="000407AE" w:rsidP="000407AE">
            <w:pPr>
              <w:spacing w:after="0" w:line="240" w:lineRule="auto"/>
              <w:rPr>
                <w:rFonts w:ascii="Times New Roman" w:eastAsia="Times New Roman" w:hAnsi="Times New Roman" w:cs="Times New Roman"/>
                <w:b/>
                <w:bCs/>
                <w:color w:val="000000"/>
                <w:sz w:val="24"/>
                <w:szCs w:val="24"/>
                <w:lang w:val="en-US"/>
              </w:rPr>
            </w:pPr>
          </w:p>
        </w:tc>
        <w:tc>
          <w:tcPr>
            <w:tcW w:w="5620" w:type="dxa"/>
            <w:vMerge/>
            <w:tcBorders>
              <w:top w:val="single" w:sz="4" w:space="0" w:color="auto"/>
              <w:left w:val="single" w:sz="4" w:space="0" w:color="auto"/>
              <w:bottom w:val="single" w:sz="4" w:space="0" w:color="auto"/>
              <w:right w:val="single" w:sz="4" w:space="0" w:color="auto"/>
            </w:tcBorders>
            <w:vAlign w:val="center"/>
            <w:hideMark/>
          </w:tcPr>
          <w:p w:rsidR="000407AE" w:rsidRPr="000407AE" w:rsidRDefault="000407AE" w:rsidP="000407AE">
            <w:pPr>
              <w:spacing w:after="0" w:line="240" w:lineRule="auto"/>
              <w:rPr>
                <w:rFonts w:ascii="Calibri" w:eastAsia="Times New Roman" w:hAnsi="Calibri" w:cs="Times New Roman"/>
                <w:color w:val="000000"/>
                <w:lang w:val="en-US"/>
              </w:rPr>
            </w:pPr>
          </w:p>
        </w:tc>
      </w:tr>
      <w:tr w:rsidR="000407AE" w:rsidRPr="000407AE" w:rsidTr="000407AE">
        <w:trPr>
          <w:trHeight w:val="462"/>
        </w:trPr>
        <w:tc>
          <w:tcPr>
            <w:tcW w:w="43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Oxygenation</w:t>
            </w:r>
          </w:p>
        </w:tc>
        <w:tc>
          <w:tcPr>
            <w:tcW w:w="56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Overview of respiratory system, factors affecting respiration and oxygenation, nursing process, oxygen therapy, breathing and coughing exercises, cough medications, airway management (basic and advanced), suctioning, care of chest tube, Collecting specimens, tracheostomy, diagnostic procedures, pleural tap, CPR. </w:t>
            </w:r>
          </w:p>
        </w:tc>
      </w:tr>
      <w:tr w:rsidR="000407AE" w:rsidRPr="000407AE" w:rsidTr="000407AE">
        <w:trPr>
          <w:trHeight w:val="1170"/>
        </w:trPr>
        <w:tc>
          <w:tcPr>
            <w:tcW w:w="4320" w:type="dxa"/>
            <w:vMerge/>
            <w:tcBorders>
              <w:top w:val="single" w:sz="4" w:space="0" w:color="auto"/>
              <w:left w:val="single" w:sz="4" w:space="0" w:color="auto"/>
              <w:bottom w:val="single" w:sz="4" w:space="0" w:color="auto"/>
              <w:right w:val="single" w:sz="4" w:space="0" w:color="auto"/>
            </w:tcBorders>
            <w:vAlign w:val="center"/>
            <w:hideMark/>
          </w:tcPr>
          <w:p w:rsidR="000407AE" w:rsidRPr="000407AE" w:rsidRDefault="000407AE" w:rsidP="000407AE">
            <w:pPr>
              <w:spacing w:after="0" w:line="240" w:lineRule="auto"/>
              <w:rPr>
                <w:rFonts w:ascii="Times New Roman" w:eastAsia="Times New Roman" w:hAnsi="Times New Roman" w:cs="Times New Roman"/>
                <w:b/>
                <w:bCs/>
                <w:color w:val="000000"/>
                <w:sz w:val="24"/>
                <w:szCs w:val="24"/>
                <w:lang w:val="en-US"/>
              </w:rPr>
            </w:pPr>
          </w:p>
        </w:tc>
        <w:tc>
          <w:tcPr>
            <w:tcW w:w="5620" w:type="dxa"/>
            <w:vMerge/>
            <w:tcBorders>
              <w:top w:val="single" w:sz="4" w:space="0" w:color="auto"/>
              <w:left w:val="single" w:sz="4" w:space="0" w:color="auto"/>
              <w:bottom w:val="single" w:sz="4" w:space="0" w:color="auto"/>
              <w:right w:val="single" w:sz="4" w:space="0" w:color="auto"/>
            </w:tcBorders>
            <w:vAlign w:val="center"/>
            <w:hideMark/>
          </w:tcPr>
          <w:p w:rsidR="000407AE" w:rsidRPr="000407AE" w:rsidRDefault="000407AE" w:rsidP="000407AE">
            <w:pPr>
              <w:spacing w:after="0" w:line="240" w:lineRule="auto"/>
              <w:rPr>
                <w:rFonts w:ascii="Calibri" w:eastAsia="Times New Roman" w:hAnsi="Calibri" w:cs="Times New Roman"/>
                <w:color w:val="000000"/>
                <w:lang w:val="en-US"/>
              </w:rPr>
            </w:pPr>
          </w:p>
        </w:tc>
      </w:tr>
      <w:tr w:rsidR="000407AE" w:rsidRPr="000407AE" w:rsidTr="000407AE">
        <w:trPr>
          <w:trHeight w:val="1500"/>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Perioperative Nursing</w:t>
            </w:r>
          </w:p>
        </w:tc>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Surgical experience described, phases of perioperative nursing, anesthesia described, informed consent, pre-operative period, teaching and preparation, intra operative period </w:t>
            </w:r>
            <w:proofErr w:type="gramStart"/>
            <w:r w:rsidRPr="000407AE">
              <w:rPr>
                <w:rFonts w:ascii="Calibri" w:eastAsia="Times New Roman" w:hAnsi="Calibri" w:cs="Times New Roman"/>
                <w:color w:val="000000"/>
                <w:lang w:val="en-US"/>
              </w:rPr>
              <w:t>described,</w:t>
            </w:r>
            <w:proofErr w:type="gramEnd"/>
            <w:r w:rsidRPr="000407AE">
              <w:rPr>
                <w:rFonts w:ascii="Calibri" w:eastAsia="Times New Roman" w:hAnsi="Calibri" w:cs="Times New Roman"/>
                <w:color w:val="000000"/>
                <w:lang w:val="en-US"/>
              </w:rPr>
              <w:t xml:space="preserve"> post-operative period, immediate post op care, ongoing post op care, post op complications. </w:t>
            </w:r>
          </w:p>
        </w:tc>
      </w:tr>
      <w:tr w:rsidR="000407AE" w:rsidRPr="000407AE" w:rsidTr="000407AE">
        <w:trPr>
          <w:trHeight w:val="945"/>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bookmarkStart w:id="1" w:name="RANGE!A22"/>
            <w:r w:rsidRPr="000407AE">
              <w:rPr>
                <w:rFonts w:ascii="Times New Roman" w:eastAsia="Times New Roman" w:hAnsi="Times New Roman" w:cs="Times New Roman"/>
                <w:b/>
                <w:bCs/>
                <w:color w:val="000000"/>
                <w:sz w:val="24"/>
                <w:szCs w:val="24"/>
                <w:lang w:val="en-US"/>
              </w:rPr>
              <w:t>Urinary Elimination</w:t>
            </w:r>
            <w:bookmarkEnd w:id="1"/>
          </w:p>
        </w:tc>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Overview of urinary system, factors affecting, nursing process, diagnostic procedures, collecting specimens, urinary diversions, urinary catheters. </w:t>
            </w:r>
          </w:p>
        </w:tc>
      </w:tr>
      <w:tr w:rsidR="000407AE" w:rsidRPr="000407AE" w:rsidTr="000407AE">
        <w:trPr>
          <w:trHeight w:val="945"/>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Bowel Elimination</w:t>
            </w:r>
          </w:p>
        </w:tc>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Overview of GI system, factors affecting, nursing process, diagnostic procedures, collecting specimens, </w:t>
            </w:r>
            <w:proofErr w:type="spellStart"/>
            <w:r w:rsidRPr="000407AE">
              <w:rPr>
                <w:rFonts w:ascii="Calibri" w:eastAsia="Times New Roman" w:hAnsi="Calibri" w:cs="Times New Roman"/>
                <w:color w:val="000000"/>
                <w:lang w:val="en-US"/>
              </w:rPr>
              <w:t>ostomy</w:t>
            </w:r>
            <w:proofErr w:type="spellEnd"/>
            <w:r w:rsidRPr="000407AE">
              <w:rPr>
                <w:rFonts w:ascii="Calibri" w:eastAsia="Times New Roman" w:hAnsi="Calibri" w:cs="Times New Roman"/>
                <w:color w:val="000000"/>
                <w:lang w:val="en-US"/>
              </w:rPr>
              <w:t xml:space="preserve"> defined, </w:t>
            </w:r>
            <w:proofErr w:type="spellStart"/>
            <w:r w:rsidRPr="000407AE">
              <w:rPr>
                <w:rFonts w:ascii="Calibri" w:eastAsia="Times New Roman" w:hAnsi="Calibri" w:cs="Times New Roman"/>
                <w:color w:val="000000"/>
                <w:lang w:val="en-US"/>
              </w:rPr>
              <w:t>ostomy</w:t>
            </w:r>
            <w:proofErr w:type="spellEnd"/>
            <w:r w:rsidRPr="000407AE">
              <w:rPr>
                <w:rFonts w:ascii="Calibri" w:eastAsia="Times New Roman" w:hAnsi="Calibri" w:cs="Times New Roman"/>
                <w:color w:val="000000"/>
                <w:lang w:val="en-US"/>
              </w:rPr>
              <w:t xml:space="preserve"> care. </w:t>
            </w:r>
          </w:p>
        </w:tc>
      </w:tr>
      <w:tr w:rsidR="000407AE" w:rsidRPr="000407AE" w:rsidTr="000407AE">
        <w:trPr>
          <w:trHeight w:val="2160"/>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Fluid, Electrolytes and Acid-base Balance</w:t>
            </w:r>
          </w:p>
        </w:tc>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AE" w:rsidRPr="000407AE" w:rsidRDefault="000407AE" w:rsidP="000407AE">
            <w:pPr>
              <w:spacing w:after="0" w:line="240" w:lineRule="auto"/>
              <w:jc w:val="center"/>
              <w:rPr>
                <w:rFonts w:ascii="Calibri" w:eastAsia="Times New Roman" w:hAnsi="Calibri" w:cs="Times New Roman"/>
                <w:color w:val="000000"/>
                <w:lang w:val="en-US"/>
              </w:rPr>
            </w:pPr>
            <w:r w:rsidRPr="000407AE">
              <w:rPr>
                <w:rFonts w:ascii="Calibri" w:eastAsia="Times New Roman" w:hAnsi="Calibri" w:cs="Times New Roman"/>
                <w:color w:val="000000"/>
                <w:lang w:val="en-US"/>
              </w:rPr>
              <w:t xml:space="preserve">Fluids distribution, fluid imbalances, </w:t>
            </w:r>
            <w:proofErr w:type="spellStart"/>
            <w:r w:rsidRPr="000407AE">
              <w:rPr>
                <w:rFonts w:ascii="Calibri" w:eastAsia="Times New Roman" w:hAnsi="Calibri" w:cs="Times New Roman"/>
                <w:color w:val="000000"/>
                <w:lang w:val="en-US"/>
              </w:rPr>
              <w:t>hypovolemia</w:t>
            </w:r>
            <w:proofErr w:type="spellEnd"/>
            <w:r w:rsidRPr="000407AE">
              <w:rPr>
                <w:rFonts w:ascii="Calibri" w:eastAsia="Times New Roman" w:hAnsi="Calibri" w:cs="Times New Roman"/>
                <w:color w:val="000000"/>
                <w:lang w:val="en-US"/>
              </w:rPr>
              <w:t>, hypervolemia, Electrolytes defined, sources and functions, electrolytes imbalances, hypo/hyper Na, hypo/hyper K, hypo/hyper Ca</w:t>
            </w:r>
            <w:r>
              <w:rPr>
                <w:rFonts w:ascii="Calibri" w:eastAsia="Times New Roman" w:hAnsi="Calibri" w:cs="Times New Roman"/>
                <w:color w:val="000000"/>
                <w:lang w:val="en-US"/>
              </w:rPr>
              <w:t>.</w:t>
            </w:r>
            <w:r w:rsidRPr="000407AE">
              <w:rPr>
                <w:rFonts w:ascii="Calibri" w:eastAsia="Times New Roman" w:hAnsi="Calibri" w:cs="Times New Roman"/>
                <w:color w:val="000000"/>
                <w:lang w:val="en-US"/>
              </w:rPr>
              <w:t>, hypo/hyper Mg, acid - base system, imbalances, ABGs procedure, ABGs interpretation, IV insertion, IV fluids types, complications of IV therapy, blood products, blood transfusion procedure, reactions of blood transfusion.</w:t>
            </w:r>
          </w:p>
        </w:tc>
      </w:tr>
      <w:tr w:rsidR="000407AE" w:rsidRPr="000407AE" w:rsidTr="000407AE">
        <w:trPr>
          <w:trHeight w:val="2580"/>
        </w:trPr>
        <w:tc>
          <w:tcPr>
            <w:tcW w:w="4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7AE" w:rsidRPr="000407AE" w:rsidRDefault="000407AE" w:rsidP="000407AE">
            <w:pPr>
              <w:spacing w:after="0" w:line="240" w:lineRule="auto"/>
              <w:jc w:val="center"/>
              <w:rPr>
                <w:rFonts w:ascii="Times New Roman" w:eastAsia="Times New Roman" w:hAnsi="Times New Roman" w:cs="Times New Roman"/>
                <w:b/>
                <w:bCs/>
                <w:color w:val="000000"/>
                <w:sz w:val="24"/>
                <w:szCs w:val="24"/>
                <w:lang w:val="en-US"/>
              </w:rPr>
            </w:pPr>
            <w:r w:rsidRPr="000407AE">
              <w:rPr>
                <w:rFonts w:ascii="Times New Roman" w:eastAsia="Times New Roman" w:hAnsi="Times New Roman" w:cs="Times New Roman"/>
                <w:b/>
                <w:bCs/>
                <w:color w:val="000000"/>
                <w:sz w:val="24"/>
                <w:szCs w:val="24"/>
                <w:lang w:val="en-US"/>
              </w:rPr>
              <w:t>Medications</w:t>
            </w:r>
          </w:p>
        </w:tc>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AE" w:rsidRPr="000407AE" w:rsidRDefault="000407AE" w:rsidP="000407AE">
            <w:pPr>
              <w:bidi/>
              <w:spacing w:after="0" w:line="240" w:lineRule="auto"/>
              <w:jc w:val="center"/>
              <w:rPr>
                <w:rFonts w:ascii="Arial" w:eastAsia="Times New Roman" w:hAnsi="Arial" w:cs="Arial"/>
                <w:color w:val="000000"/>
                <w:sz w:val="24"/>
                <w:szCs w:val="24"/>
                <w:lang w:val="en-US"/>
              </w:rPr>
            </w:pPr>
            <w:r w:rsidRPr="000407AE">
              <w:rPr>
                <w:rFonts w:ascii="Arial" w:eastAsia="Times New Roman" w:hAnsi="Arial" w:cs="Arial"/>
                <w:color w:val="000000"/>
                <w:sz w:val="24"/>
                <w:szCs w:val="24"/>
                <w:lang w:val="en-US"/>
              </w:rPr>
              <w:t>Overview</w:t>
            </w:r>
            <w:r w:rsidRPr="000407AE">
              <w:rPr>
                <w:rFonts w:ascii="Arial" w:eastAsia="Times New Roman" w:hAnsi="Arial" w:cs="Arial"/>
                <w:color w:val="000000"/>
                <w:sz w:val="24"/>
                <w:szCs w:val="24"/>
                <w:lang w:val="en-US"/>
              </w:rPr>
              <w:t xml:space="preserve"> of pharmacology, pharmacodynamics, pharmacokinetics, five rights of</w:t>
            </w:r>
            <w:r w:rsidRPr="000407AE">
              <w:rPr>
                <w:rFonts w:ascii="Arial" w:eastAsia="Times New Roman" w:hAnsi="Arial" w:cs="Arial"/>
                <w:color w:val="000000"/>
                <w:sz w:val="24"/>
                <w:szCs w:val="24"/>
                <w:rtl/>
                <w:lang w:val="en-US"/>
              </w:rPr>
              <w:t xml:space="preserve"> </w:t>
            </w:r>
            <w:r w:rsidRPr="000407AE">
              <w:rPr>
                <w:rFonts w:ascii="Arial" w:eastAsia="Times New Roman" w:hAnsi="Arial" w:cs="Arial"/>
                <w:color w:val="000000"/>
                <w:sz w:val="24"/>
                <w:szCs w:val="24"/>
                <w:lang w:val="en-US"/>
              </w:rPr>
              <w:t>medication, parts of medication order, types of medication order, management</w:t>
            </w:r>
            <w:r w:rsidRPr="000407AE">
              <w:rPr>
                <w:rFonts w:ascii="Arial" w:eastAsia="Times New Roman" w:hAnsi="Arial" w:cs="Arial"/>
                <w:color w:val="000000"/>
                <w:sz w:val="24"/>
                <w:szCs w:val="24"/>
                <w:rtl/>
                <w:lang w:val="en-US"/>
              </w:rPr>
              <w:t xml:space="preserve"> </w:t>
            </w:r>
            <w:r w:rsidRPr="000407AE">
              <w:rPr>
                <w:rFonts w:ascii="Arial" w:eastAsia="Times New Roman" w:hAnsi="Arial" w:cs="Arial"/>
                <w:color w:val="000000"/>
                <w:sz w:val="24"/>
                <w:szCs w:val="24"/>
                <w:lang w:val="en-US"/>
              </w:rPr>
              <w:t>of controlled substances, drug calculation, preparation and administration of</w:t>
            </w:r>
            <w:r w:rsidRPr="000407AE">
              <w:rPr>
                <w:rFonts w:ascii="Arial" w:eastAsia="Times New Roman" w:hAnsi="Arial" w:cs="Arial"/>
                <w:color w:val="000000"/>
                <w:sz w:val="24"/>
                <w:szCs w:val="24"/>
                <w:rtl/>
                <w:lang w:val="en-US"/>
              </w:rPr>
              <w:t xml:space="preserve"> </w:t>
            </w:r>
            <w:r w:rsidRPr="000407AE">
              <w:rPr>
                <w:rFonts w:ascii="Arial" w:eastAsia="Times New Roman" w:hAnsi="Arial" w:cs="Arial"/>
                <w:color w:val="000000"/>
                <w:sz w:val="24"/>
                <w:szCs w:val="24"/>
                <w:lang w:val="en-US"/>
              </w:rPr>
              <w:t xml:space="preserve">different types of medications (oral, iv, </w:t>
            </w:r>
            <w:proofErr w:type="spellStart"/>
            <w:r w:rsidRPr="000407AE">
              <w:rPr>
                <w:rFonts w:ascii="Arial" w:eastAsia="Times New Roman" w:hAnsi="Arial" w:cs="Arial"/>
                <w:color w:val="000000"/>
                <w:sz w:val="24"/>
                <w:szCs w:val="24"/>
                <w:lang w:val="en-US"/>
              </w:rPr>
              <w:t>im</w:t>
            </w:r>
            <w:proofErr w:type="spellEnd"/>
            <w:r w:rsidRPr="000407AE">
              <w:rPr>
                <w:rFonts w:ascii="Arial" w:eastAsia="Times New Roman" w:hAnsi="Arial" w:cs="Arial"/>
                <w:color w:val="000000"/>
                <w:sz w:val="24"/>
                <w:szCs w:val="24"/>
                <w:lang w:val="en-US"/>
              </w:rPr>
              <w:t xml:space="preserve">, </w:t>
            </w:r>
            <w:proofErr w:type="spellStart"/>
            <w:r w:rsidRPr="000407AE">
              <w:rPr>
                <w:rFonts w:ascii="Arial" w:eastAsia="Times New Roman" w:hAnsi="Arial" w:cs="Arial"/>
                <w:color w:val="000000"/>
                <w:sz w:val="24"/>
                <w:szCs w:val="24"/>
                <w:lang w:val="en-US"/>
              </w:rPr>
              <w:t>sc</w:t>
            </w:r>
            <w:proofErr w:type="spellEnd"/>
            <w:r w:rsidRPr="000407AE">
              <w:rPr>
                <w:rFonts w:ascii="Arial" w:eastAsia="Times New Roman" w:hAnsi="Arial" w:cs="Arial"/>
                <w:color w:val="000000"/>
                <w:sz w:val="24"/>
                <w:szCs w:val="24"/>
                <w:lang w:val="en-US"/>
              </w:rPr>
              <w:t>, id, inhalation</w:t>
            </w:r>
            <w:r w:rsidRPr="000407AE">
              <w:rPr>
                <w:rFonts w:ascii="Arial" w:eastAsia="Times New Roman" w:hAnsi="Arial" w:cs="Arial"/>
                <w:color w:val="000000"/>
                <w:sz w:val="24"/>
                <w:szCs w:val="24"/>
                <w:rtl/>
                <w:lang w:val="en-US"/>
              </w:rPr>
              <w:t xml:space="preserve">, </w:t>
            </w:r>
            <w:r w:rsidRPr="000407AE">
              <w:rPr>
                <w:rFonts w:ascii="Arial" w:eastAsia="Times New Roman" w:hAnsi="Arial" w:cs="Arial"/>
                <w:color w:val="000000"/>
                <w:sz w:val="24"/>
                <w:szCs w:val="24"/>
                <w:lang w:val="en-US"/>
              </w:rPr>
              <w:t>transdermal, topical, eye applications, ear applications, nose applications</w:t>
            </w:r>
            <w:r w:rsidRPr="000407AE">
              <w:rPr>
                <w:rFonts w:ascii="Arial" w:eastAsia="Times New Roman" w:hAnsi="Arial" w:cs="Arial"/>
                <w:color w:val="000000"/>
                <w:sz w:val="24"/>
                <w:szCs w:val="24"/>
                <w:rtl/>
                <w:lang w:val="en-US"/>
              </w:rPr>
              <w:t xml:space="preserve">, </w:t>
            </w:r>
            <w:r w:rsidRPr="000407AE">
              <w:rPr>
                <w:rFonts w:ascii="Arial" w:eastAsia="Times New Roman" w:hAnsi="Arial" w:cs="Arial"/>
                <w:color w:val="000000"/>
                <w:sz w:val="24"/>
                <w:szCs w:val="24"/>
                <w:lang w:val="en-US"/>
              </w:rPr>
              <w:t>rectal, vaginal, in perfusion</w:t>
            </w:r>
            <w:r w:rsidRPr="000407AE">
              <w:rPr>
                <w:rFonts w:ascii="Arial" w:eastAsia="Times New Roman" w:hAnsi="Arial" w:cs="Arial"/>
                <w:color w:val="000000"/>
                <w:sz w:val="24"/>
                <w:szCs w:val="24"/>
                <w:rtl/>
                <w:lang w:val="en-US"/>
              </w:rPr>
              <w:t xml:space="preserve">)., </w:t>
            </w:r>
          </w:p>
        </w:tc>
      </w:tr>
    </w:tbl>
    <w:p w:rsidR="00921627" w:rsidRPr="00921627" w:rsidRDefault="00921627" w:rsidP="00921627">
      <w:pPr>
        <w:shd w:val="clear" w:color="auto" w:fill="FFFFFF"/>
        <w:spacing w:after="300" w:line="240" w:lineRule="auto"/>
        <w:textAlignment w:val="baseline"/>
        <w:rPr>
          <w:rFonts w:ascii="Roboto" w:eastAsia="Times New Roman" w:hAnsi="Roboto" w:cs="Times New Roman"/>
          <w:color w:val="212121"/>
          <w:sz w:val="27"/>
          <w:szCs w:val="27"/>
          <w:lang w:val="en-US"/>
        </w:rPr>
      </w:pPr>
      <w:r w:rsidRPr="00921627">
        <w:rPr>
          <w:rFonts w:ascii="Roboto" w:eastAsia="Times New Roman" w:hAnsi="Roboto" w:cs="Times New Roman"/>
          <w:color w:val="212121"/>
          <w:sz w:val="27"/>
          <w:szCs w:val="27"/>
          <w:lang w:val="en-US"/>
        </w:rPr>
        <w:t> </w:t>
      </w:r>
    </w:p>
    <w:p w:rsidR="00085879" w:rsidRPr="000407AE" w:rsidRDefault="00085879">
      <w:pPr>
        <w:rPr>
          <w:lang w:val="en-US"/>
        </w:rPr>
      </w:pPr>
    </w:p>
    <w:sectPr w:rsidR="00085879" w:rsidRPr="000407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627"/>
    <w:rsid w:val="000407AE"/>
    <w:rsid w:val="00085879"/>
    <w:rsid w:val="00921627"/>
    <w:rsid w:val="0092739C"/>
    <w:rsid w:val="00B548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2022">
      <w:bodyDiv w:val="1"/>
      <w:marLeft w:val="0"/>
      <w:marRight w:val="0"/>
      <w:marTop w:val="0"/>
      <w:marBottom w:val="0"/>
      <w:divBdr>
        <w:top w:val="none" w:sz="0" w:space="0" w:color="auto"/>
        <w:left w:val="none" w:sz="0" w:space="0" w:color="auto"/>
        <w:bottom w:val="none" w:sz="0" w:space="0" w:color="auto"/>
        <w:right w:val="none" w:sz="0" w:space="0" w:color="auto"/>
      </w:divBdr>
    </w:div>
    <w:div w:id="856504513">
      <w:bodyDiv w:val="1"/>
      <w:marLeft w:val="0"/>
      <w:marRight w:val="0"/>
      <w:marTop w:val="0"/>
      <w:marBottom w:val="0"/>
      <w:divBdr>
        <w:top w:val="none" w:sz="0" w:space="0" w:color="auto"/>
        <w:left w:val="none" w:sz="0" w:space="0" w:color="auto"/>
        <w:bottom w:val="none" w:sz="0" w:space="0" w:color="auto"/>
        <w:right w:val="none" w:sz="0" w:space="0" w:color="auto"/>
      </w:divBdr>
    </w:div>
    <w:div w:id="11508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wafaa kichli</dc:creator>
  <cp:lastModifiedBy>DR.Ahmed Saker 2o1O</cp:lastModifiedBy>
  <cp:revision>3</cp:revision>
  <dcterms:created xsi:type="dcterms:W3CDTF">2020-08-21T19:40:00Z</dcterms:created>
  <dcterms:modified xsi:type="dcterms:W3CDTF">2020-08-26T08:31:00Z</dcterms:modified>
</cp:coreProperties>
</file>